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299" w:rsidRDefault="00480299" w:rsidP="00480299">
      <w:pPr>
        <w:pStyle w:val="Tijeloteksta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 xml:space="preserve">Uvjeti izlaganja obrtnika/poduzetnika na 47. Međunarodnom obrtničkom sajmu Celje, </w:t>
      </w:r>
    </w:p>
    <w:p w:rsidR="00480299" w:rsidRDefault="00480299" w:rsidP="00480299">
      <w:pPr>
        <w:pStyle w:val="Tijeloteksta"/>
        <w:rPr>
          <w:rFonts w:ascii="Arial Narrow" w:hAnsi="Arial Narrow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Arial Narrow" w:hAnsi="Arial Narrow"/>
          <w:b/>
          <w:sz w:val="24"/>
          <w:szCs w:val="24"/>
          <w:u w:val="single"/>
        </w:rPr>
        <w:t>10.</w:t>
      </w:r>
      <w:r w:rsidRPr="00190B2A">
        <w:rPr>
          <w:rFonts w:ascii="Arial Narrow" w:hAnsi="Arial Narrow"/>
          <w:b/>
          <w:sz w:val="24"/>
          <w:szCs w:val="24"/>
          <w:u w:val="single"/>
        </w:rPr>
        <w:t xml:space="preserve"> – </w:t>
      </w:r>
      <w:r>
        <w:rPr>
          <w:rFonts w:ascii="Arial Narrow" w:hAnsi="Arial Narrow"/>
          <w:b/>
          <w:sz w:val="24"/>
          <w:szCs w:val="24"/>
          <w:u w:val="single"/>
        </w:rPr>
        <w:t>15. 09. 2014.</w:t>
      </w:r>
    </w:p>
    <w:p w:rsidR="00480299" w:rsidRDefault="00480299" w:rsidP="00480299">
      <w:pPr>
        <w:pStyle w:val="Tijeloteksta"/>
        <w:rPr>
          <w:rFonts w:ascii="Arial Narrow" w:hAnsi="Arial Narrow"/>
          <w:b/>
          <w:sz w:val="24"/>
          <w:szCs w:val="24"/>
          <w:u w:val="single"/>
        </w:rPr>
      </w:pPr>
    </w:p>
    <w:p w:rsidR="00480299" w:rsidRDefault="00480299" w:rsidP="00480299">
      <w:pPr>
        <w:pStyle w:val="Tijeloteksta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1. Prijava izlaganja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12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Sudjelovanje na sajmu u organizaciji HOK-a izlagač prijavljuje pismenim putem ispunjavajući Prijavu – ugovor o zakupu izlagačkog prostora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HOK će na temelju prispjelih prijava izvršiti raspodjelu zakupljenog prostora za svakog izlagača prema traženoj veličini izlagačke površine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HOK po primitku prijave od izlagača može prijavu otkazati u slučaju ako je ukupno zakupljena površina popunjena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HOK može otkazati nastup na sajmu ako se ne prijavi dovoljan broj izlagača ili ako prijavljena izlagačka površina bude manja od 50% ukupno planirane izlagačke površine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Minimalna izlagačka površina koju izlagač može zakupiti je 2m</w:t>
      </w:r>
      <w:r>
        <w:rPr>
          <w:rFonts w:ascii="Arial Narrow" w:hAnsi="Arial Narrow"/>
          <w:bCs/>
          <w:sz w:val="24"/>
          <w:szCs w:val="24"/>
          <w:vertAlign w:val="superscript"/>
        </w:rPr>
        <w:t>2</w:t>
      </w:r>
      <w:r>
        <w:rPr>
          <w:rFonts w:ascii="Arial Narrow" w:hAnsi="Arial Narrow"/>
          <w:bCs/>
          <w:sz w:val="24"/>
          <w:szCs w:val="24"/>
        </w:rPr>
        <w:t>, osim ako se radi o izložbenom panou na stijeni, kada je minimalna površina 1m</w:t>
      </w:r>
      <w:r>
        <w:rPr>
          <w:rFonts w:ascii="Arial Narrow" w:hAnsi="Arial Narrow"/>
          <w:bCs/>
          <w:sz w:val="24"/>
          <w:szCs w:val="24"/>
          <w:vertAlign w:val="superscript"/>
        </w:rPr>
        <w:t>2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Izlagač prilikom određivanja potrebne izlagačke površine treba voditi računa o komunikacijskom prostoru, budući da treba osigurati pristup izlošku, kao i prostor za razgovore</w:t>
      </w:r>
    </w:p>
    <w:p w:rsidR="00480299" w:rsidRPr="000172D0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Izlagač prilikom popunjavanja </w:t>
      </w:r>
      <w:r w:rsidRPr="000172D0">
        <w:rPr>
          <w:rFonts w:ascii="Arial Narrow" w:hAnsi="Arial Narrow"/>
          <w:bCs/>
          <w:sz w:val="24"/>
          <w:szCs w:val="24"/>
        </w:rPr>
        <w:t xml:space="preserve">prijave mora voditi računa o realnoj zakupljenoj površini izlaganja, tj. treba paziti da na izlaganje pošalje količinu robe koja realno zauzima prostor naznačen u prijavi </w:t>
      </w:r>
    </w:p>
    <w:p w:rsidR="00480299" w:rsidRDefault="00480299" w:rsidP="00480299">
      <w:pPr>
        <w:pStyle w:val="Tijeloteksta"/>
        <w:spacing w:before="12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2. Izlaganje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12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Izlagač je dužan pridržavati se termina predaje izložaka, kao i preuzimanja izložaka nakon sajma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Ako želi, izlagač može robu osigurati na vlastiti trošak, s obzirom na to da Komora ne snosi troškove oštećenja, krađe ili gubitka robe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Izlagač odgovara za točnost podatka o eksponatima, a koje je dao za izradu zajedničke dokumentacije za otpremu robe na sajam i sa sajma (vrsta, vrijednost i količina)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Izlagač je obavezan zapakirati robu na način da je zaštićena od oštećenja te na pakiranju mora biti naljepnica s podacima o vlasniku robe i upozorenju o načinu rukovanja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Izlagač je dužan robu predati za otpremu na sajma s dva popisa robe – jedan primjerak za izvođača, a drugi za sebe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>Izlagač je obvezan po završetku sajma preuzeti robu te konstatirati stanje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>Ukoliko izlagač nakon sajma ne preuzme robu prema uputama, utoliko izvođač ni Hrvatska obrtnička komora ne snose odgovornost ni troškove za eventualno nestalu robu</w:t>
      </w:r>
    </w:p>
    <w:p w:rsidR="00480299" w:rsidRDefault="00480299" w:rsidP="00480299">
      <w:pPr>
        <w:pStyle w:val="Tijeloteksta"/>
        <w:spacing w:before="120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3. Uvjeti plaćanja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12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Izlagač je dužan podmiriti ispostavljeni račun za izlaganje prema stvarno korištenoj površini izlaganja na sajmu, u roku naznačenom na računu; u protivnom će mu se obračunavati zakonska kamata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U slučaju da izlagač ima primjedbe u vezi s izlaganjem (veličina prostora, pozicija na štandu, faktura i slično), dužan je najkasnije u roku od 15 dana od primitka fakture za nastup, dostaviti pismenu reklamaciju </w:t>
      </w:r>
    </w:p>
    <w:p w:rsidR="00480299" w:rsidRDefault="00480299" w:rsidP="00480299">
      <w:pPr>
        <w:pStyle w:val="Tijeloteksta"/>
        <w:numPr>
          <w:ilvl w:val="0"/>
          <w:numId w:val="1"/>
        </w:numPr>
        <w:spacing w:before="40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Naknadne reklamacije neće se uvažavati</w:t>
      </w:r>
    </w:p>
    <w:p w:rsidR="00480299" w:rsidRPr="009A1D54" w:rsidRDefault="00480299" w:rsidP="00480299">
      <w:pPr>
        <w:pStyle w:val="Tijeloteksta"/>
        <w:spacing w:before="120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4. Obrtnici s dugovanjima prema komorskom sustavu ne mogu prijaviti nastup dok dugovanja ne podmire</w:t>
      </w:r>
    </w:p>
    <w:p w:rsidR="00480299" w:rsidRDefault="00480299" w:rsidP="00480299">
      <w:pPr>
        <w:jc w:val="both"/>
        <w:rPr>
          <w:rFonts w:ascii="Arial" w:hAnsi="Arial" w:cs="Arial"/>
          <w:szCs w:val="22"/>
        </w:rPr>
      </w:pPr>
    </w:p>
    <w:p w:rsidR="00717CE8" w:rsidRDefault="00717CE8" w:rsidP="00480299"/>
    <w:sectPr w:rsidR="00717CE8" w:rsidSect="00480299">
      <w:pgSz w:w="11906" w:h="16838"/>
      <w:pgMar w:top="1276" w:right="1417" w:bottom="1417" w:left="212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64EDF"/>
    <w:multiLevelType w:val="hybridMultilevel"/>
    <w:tmpl w:val="64ACA1F2"/>
    <w:lvl w:ilvl="0" w:tplc="884AE38E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299"/>
    <w:rsid w:val="00480299"/>
    <w:rsid w:val="0071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299"/>
    <w:rPr>
      <w:rFonts w:ascii="Times New Roman" w:eastAsia="Times New Roman" w:hAnsi="Times New Roman" w:cs="Times New Roman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480299"/>
    <w:rPr>
      <w:sz w:val="20"/>
    </w:rPr>
  </w:style>
  <w:style w:type="character" w:customStyle="1" w:styleId="TijelotekstaChar">
    <w:name w:val="Tijelo teksta Char"/>
    <w:basedOn w:val="Zadanifontodlomka"/>
    <w:link w:val="Tijeloteksta"/>
    <w:rsid w:val="00480299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299"/>
    <w:rPr>
      <w:rFonts w:ascii="Times New Roman" w:eastAsia="Times New Roman" w:hAnsi="Times New Roman" w:cs="Times New Roman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480299"/>
    <w:rPr>
      <w:sz w:val="20"/>
    </w:rPr>
  </w:style>
  <w:style w:type="character" w:customStyle="1" w:styleId="TijelotekstaChar">
    <w:name w:val="Tijelo teksta Char"/>
    <w:basedOn w:val="Zadanifontodlomka"/>
    <w:link w:val="Tijeloteksta"/>
    <w:rsid w:val="0048029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2014-07-08T15:04:00Z</dcterms:created>
  <dcterms:modified xsi:type="dcterms:W3CDTF">2014-07-08T15:05:00Z</dcterms:modified>
</cp:coreProperties>
</file>